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BA" w:rsidRPr="00361E40" w:rsidRDefault="004A2ED6" w:rsidP="00CD65A4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361E40">
        <w:rPr>
          <w:rFonts w:ascii="微軟正黑體" w:eastAsia="微軟正黑體" w:hAnsi="微軟正黑體" w:hint="eastAsia"/>
          <w:b/>
          <w:sz w:val="48"/>
          <w:szCs w:val="48"/>
        </w:rPr>
        <w:t>低熱量均衡</w:t>
      </w:r>
      <w:r w:rsidR="00CD65A4" w:rsidRPr="00361E40">
        <w:rPr>
          <w:rFonts w:ascii="微軟正黑體" w:eastAsia="微軟正黑體" w:hAnsi="微軟正黑體" w:hint="eastAsia"/>
          <w:b/>
          <w:sz w:val="48"/>
          <w:szCs w:val="48"/>
        </w:rPr>
        <w:t>飲食</w:t>
      </w:r>
    </w:p>
    <w:p w:rsidR="00484480" w:rsidRPr="00361E40" w:rsidRDefault="00484480" w:rsidP="00474531">
      <w:pPr>
        <w:spacing w:line="420" w:lineRule="exact"/>
        <w:ind w:leftChars="236" w:left="1126" w:rightChars="117" w:right="281" w:hangingChars="200" w:hanging="560"/>
        <w:rPr>
          <w:rFonts w:ascii="微軟正黑體" w:eastAsia="微軟正黑體" w:hAnsi="微軟正黑體"/>
          <w:sz w:val="28"/>
          <w:szCs w:val="28"/>
        </w:rPr>
      </w:pPr>
      <w:r w:rsidRPr="00361E40">
        <w:rPr>
          <w:rFonts w:ascii="微軟正黑體" w:eastAsia="微軟正黑體" w:hAnsi="微軟正黑體" w:hint="eastAsia"/>
          <w:sz w:val="28"/>
          <w:szCs w:val="28"/>
        </w:rPr>
        <w:t>定義:</w:t>
      </w:r>
      <w:r w:rsidR="004A2ED6" w:rsidRPr="00361E40">
        <w:rPr>
          <w:rFonts w:ascii="微軟正黑體" w:eastAsia="微軟正黑體" w:hAnsi="微軟正黑體" w:hint="eastAsia"/>
          <w:sz w:val="28"/>
          <w:szCs w:val="28"/>
        </w:rPr>
        <w:t>在限制卡路里的情況</w:t>
      </w:r>
      <w:r w:rsidR="003C5E3B" w:rsidRPr="00361E40">
        <w:rPr>
          <w:rFonts w:ascii="微軟正黑體" w:eastAsia="微軟正黑體" w:hAnsi="微軟正黑體" w:hint="eastAsia"/>
          <w:sz w:val="28"/>
          <w:szCs w:val="28"/>
        </w:rPr>
        <w:t>下</w:t>
      </w:r>
      <w:r w:rsidRPr="00361E40">
        <w:rPr>
          <w:rFonts w:ascii="微軟正黑體" w:eastAsia="微軟正黑體" w:hAnsi="微軟正黑體" w:hint="eastAsia"/>
          <w:sz w:val="28"/>
          <w:szCs w:val="28"/>
        </w:rPr>
        <w:t>，</w:t>
      </w:r>
      <w:r w:rsidR="003C5E3B" w:rsidRPr="00361E40">
        <w:rPr>
          <w:rFonts w:ascii="微軟正黑體" w:eastAsia="微軟正黑體" w:hAnsi="微軟正黑體" w:hint="eastAsia"/>
          <w:sz w:val="28"/>
          <w:szCs w:val="28"/>
        </w:rPr>
        <w:t>每日從六大類食物均衡攝取身體需要的營養素，但仍避免高脂、過</w:t>
      </w:r>
      <w:proofErr w:type="gramStart"/>
      <w:r w:rsidR="003C5E3B" w:rsidRPr="00361E40">
        <w:rPr>
          <w:rFonts w:ascii="微軟正黑體" w:eastAsia="微軟正黑體" w:hAnsi="微軟正黑體" w:hint="eastAsia"/>
          <w:sz w:val="28"/>
          <w:szCs w:val="28"/>
        </w:rPr>
        <w:t>鹹</w:t>
      </w:r>
      <w:proofErr w:type="gramEnd"/>
      <w:r w:rsidRPr="00361E40">
        <w:rPr>
          <w:rFonts w:ascii="微軟正黑體" w:eastAsia="微軟正黑體" w:hAnsi="微軟正黑體" w:hint="eastAsia"/>
          <w:sz w:val="28"/>
          <w:szCs w:val="28"/>
        </w:rPr>
        <w:t>、</w:t>
      </w:r>
      <w:r w:rsidR="003C5E3B" w:rsidRPr="00361E40">
        <w:rPr>
          <w:rFonts w:ascii="微軟正黑體" w:eastAsia="微軟正黑體" w:hAnsi="微軟正黑體" w:hint="eastAsia"/>
          <w:sz w:val="28"/>
          <w:szCs w:val="28"/>
        </w:rPr>
        <w:t>過於辛辣或刺激的食物</w:t>
      </w:r>
      <w:r w:rsidRPr="00361E40">
        <w:rPr>
          <w:rFonts w:ascii="微軟正黑體" w:eastAsia="微軟正黑體" w:hAnsi="微軟正黑體" w:hint="eastAsia"/>
          <w:sz w:val="28"/>
          <w:szCs w:val="28"/>
        </w:rPr>
        <w:t xml:space="preserve">。   </w:t>
      </w:r>
    </w:p>
    <w:tbl>
      <w:tblPr>
        <w:tblStyle w:val="a3"/>
        <w:tblpPr w:leftFromText="180" w:rightFromText="180" w:vertAnchor="text" w:horzAnchor="margin" w:tblpX="783" w:tblpY="284"/>
        <w:tblW w:w="918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0"/>
        <w:gridCol w:w="3760"/>
        <w:gridCol w:w="4110"/>
      </w:tblGrid>
      <w:tr w:rsidR="00474531" w:rsidRPr="00474531" w:rsidTr="00162E50">
        <w:trPr>
          <w:trHeight w:val="363"/>
        </w:trPr>
        <w:tc>
          <w:tcPr>
            <w:tcW w:w="1310" w:type="dxa"/>
            <w:vAlign w:val="center"/>
          </w:tcPr>
          <w:p w:rsidR="00484480" w:rsidRPr="00474531" w:rsidRDefault="00484480" w:rsidP="00474531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品項</w:t>
            </w:r>
          </w:p>
        </w:tc>
        <w:tc>
          <w:tcPr>
            <w:tcW w:w="3760" w:type="dxa"/>
            <w:vAlign w:val="center"/>
          </w:tcPr>
          <w:p w:rsidR="00484480" w:rsidRPr="00474531" w:rsidRDefault="00484480" w:rsidP="00474531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可食用</w:t>
            </w:r>
          </w:p>
        </w:tc>
        <w:tc>
          <w:tcPr>
            <w:tcW w:w="4110" w:type="dxa"/>
            <w:vAlign w:val="center"/>
          </w:tcPr>
          <w:p w:rsidR="00484480" w:rsidRPr="00474531" w:rsidRDefault="00484480" w:rsidP="00474531">
            <w:pPr>
              <w:spacing w:line="5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避免食用</w:t>
            </w:r>
          </w:p>
        </w:tc>
      </w:tr>
      <w:tr w:rsidR="00474531" w:rsidRPr="00474531" w:rsidTr="00162E50">
        <w:trPr>
          <w:trHeight w:val="905"/>
        </w:trPr>
        <w:tc>
          <w:tcPr>
            <w:tcW w:w="1310" w:type="dxa"/>
            <w:vAlign w:val="center"/>
          </w:tcPr>
          <w:p w:rsidR="00484480" w:rsidRPr="00474531" w:rsidRDefault="00484480" w:rsidP="00474531">
            <w:pPr>
              <w:spacing w:line="4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乳品類</w:t>
            </w:r>
          </w:p>
        </w:tc>
        <w:tc>
          <w:tcPr>
            <w:tcW w:w="3760" w:type="dxa"/>
            <w:vAlign w:val="center"/>
          </w:tcPr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脫、低脂奶</w:t>
            </w:r>
          </w:p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低熱量優格或優酪乳</w:t>
            </w:r>
          </w:p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低脂原味起司</w:t>
            </w:r>
          </w:p>
        </w:tc>
        <w:tc>
          <w:tcPr>
            <w:tcW w:w="4110" w:type="dxa"/>
            <w:vAlign w:val="center"/>
          </w:tcPr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含糖、全脂乳品:</w:t>
            </w:r>
            <w:proofErr w:type="gramStart"/>
            <w:r w:rsidRPr="00474531">
              <w:rPr>
                <w:rFonts w:ascii="微軟正黑體" w:eastAsia="微軟正黑體" w:hAnsi="微軟正黑體" w:hint="eastAsia"/>
                <w:szCs w:val="24"/>
              </w:rPr>
              <w:t>全脂奶</w:t>
            </w:r>
            <w:proofErr w:type="gramEnd"/>
            <w:r w:rsidRPr="00474531">
              <w:rPr>
                <w:rFonts w:ascii="微軟正黑體" w:eastAsia="微軟正黑體" w:hAnsi="微軟正黑體" w:hint="eastAsia"/>
                <w:szCs w:val="24"/>
              </w:rPr>
              <w:t>、調味乳、冰淇淋等</w:t>
            </w:r>
          </w:p>
        </w:tc>
      </w:tr>
      <w:tr w:rsidR="00474531" w:rsidRPr="00474531" w:rsidTr="00162E50">
        <w:trPr>
          <w:trHeight w:val="905"/>
        </w:trPr>
        <w:tc>
          <w:tcPr>
            <w:tcW w:w="1310" w:type="dxa"/>
            <w:vAlign w:val="center"/>
          </w:tcPr>
          <w:p w:rsidR="00484480" w:rsidRPr="00474531" w:rsidRDefault="00484480" w:rsidP="00474531">
            <w:pPr>
              <w:spacing w:line="4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全</w:t>
            </w:r>
            <w:proofErr w:type="gramStart"/>
            <w:r w:rsidRPr="00474531">
              <w:rPr>
                <w:rFonts w:ascii="微軟正黑體" w:eastAsia="微軟正黑體" w:hAnsi="微軟正黑體" w:hint="eastAsia"/>
                <w:szCs w:val="24"/>
              </w:rPr>
              <w:t>榖</w:t>
            </w:r>
            <w:proofErr w:type="gramEnd"/>
            <w:r w:rsidRPr="00474531">
              <w:rPr>
                <w:rFonts w:ascii="微軟正黑體" w:eastAsia="微軟正黑體" w:hAnsi="微軟正黑體" w:hint="eastAsia"/>
                <w:szCs w:val="24"/>
              </w:rPr>
              <w:t>雜糧類</w:t>
            </w:r>
          </w:p>
        </w:tc>
        <w:tc>
          <w:tcPr>
            <w:tcW w:w="3760" w:type="dxa"/>
            <w:vAlign w:val="center"/>
          </w:tcPr>
          <w:p w:rsidR="00484480" w:rsidRPr="00474531" w:rsidRDefault="00484480" w:rsidP="00BD15A2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乾飯</w:t>
            </w:r>
            <w:r w:rsidR="00F66EBF" w:rsidRPr="00474531">
              <w:rPr>
                <w:rFonts w:ascii="微軟正黑體" w:eastAsia="微軟正黑體" w:hAnsi="微軟正黑體" w:hint="eastAsia"/>
                <w:szCs w:val="24"/>
              </w:rPr>
              <w:t>、糙米、全</w:t>
            </w:r>
            <w:proofErr w:type="gramStart"/>
            <w:r w:rsidR="00F66EBF" w:rsidRPr="00474531">
              <w:rPr>
                <w:rFonts w:ascii="微軟正黑體" w:eastAsia="微軟正黑體" w:hAnsi="微軟正黑體" w:hint="eastAsia"/>
                <w:szCs w:val="24"/>
              </w:rPr>
              <w:t>榖</w:t>
            </w:r>
            <w:proofErr w:type="gramEnd"/>
            <w:r w:rsidR="00F66EBF" w:rsidRPr="00474531">
              <w:rPr>
                <w:rFonts w:ascii="微軟正黑體" w:eastAsia="微軟正黑體" w:hAnsi="微軟正黑體" w:hint="eastAsia"/>
                <w:szCs w:val="24"/>
              </w:rPr>
              <w:t>類製品</w:t>
            </w:r>
            <w:r w:rsidRPr="00474531">
              <w:rPr>
                <w:rFonts w:ascii="微軟正黑體" w:eastAsia="微軟正黑體" w:hAnsi="微軟正黑體" w:hint="eastAsia"/>
                <w:szCs w:val="24"/>
              </w:rPr>
              <w:t>、麵條、米粉</w:t>
            </w:r>
            <w:r w:rsidR="00F66EBF" w:rsidRPr="00474531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474531">
              <w:rPr>
                <w:rFonts w:ascii="微軟正黑體" w:eastAsia="微軟正黑體" w:hAnsi="微軟正黑體" w:hint="eastAsia"/>
                <w:szCs w:val="24"/>
              </w:rPr>
              <w:t>南瓜</w:t>
            </w:r>
            <w:r w:rsidR="00F66EBF" w:rsidRPr="00474531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Pr="00474531">
              <w:rPr>
                <w:rFonts w:ascii="微軟正黑體" w:eastAsia="微軟正黑體" w:hAnsi="微軟正黑體" w:hint="eastAsia"/>
                <w:szCs w:val="24"/>
              </w:rPr>
              <w:t>馬鈴薯</w:t>
            </w:r>
            <w:r w:rsidR="00F66EBF" w:rsidRPr="00474531">
              <w:rPr>
                <w:rFonts w:ascii="微軟正黑體" w:eastAsia="微軟正黑體" w:hAnsi="微軟正黑體" w:hint="eastAsia"/>
                <w:szCs w:val="24"/>
              </w:rPr>
              <w:t>、全麥</w:t>
            </w:r>
            <w:r w:rsidRPr="00474531">
              <w:rPr>
                <w:rFonts w:ascii="微軟正黑體" w:eastAsia="微軟正黑體" w:hAnsi="微軟正黑體" w:hint="eastAsia"/>
                <w:szCs w:val="24"/>
              </w:rPr>
              <w:t>麵包、饅頭等</w:t>
            </w:r>
          </w:p>
        </w:tc>
        <w:tc>
          <w:tcPr>
            <w:tcW w:w="4110" w:type="dxa"/>
            <w:vAlign w:val="center"/>
          </w:tcPr>
          <w:p w:rsidR="00484480" w:rsidRPr="00474531" w:rsidRDefault="00F66EBF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高熱量食物如</w:t>
            </w:r>
            <w:r w:rsidR="00484480" w:rsidRPr="00474531">
              <w:rPr>
                <w:rFonts w:ascii="微軟正黑體" w:eastAsia="微軟正黑體" w:hAnsi="微軟正黑體" w:hint="eastAsia"/>
                <w:szCs w:val="24"/>
              </w:rPr>
              <w:t>泡麵、蛋糕</w:t>
            </w:r>
            <w:r w:rsidRPr="00474531">
              <w:rPr>
                <w:rFonts w:ascii="微軟正黑體" w:eastAsia="微軟正黑體" w:hAnsi="微軟正黑體" w:hint="eastAsia"/>
                <w:szCs w:val="24"/>
              </w:rPr>
              <w:t>、炸薯條</w:t>
            </w:r>
            <w:r w:rsidR="001102CD" w:rsidRPr="00474531">
              <w:rPr>
                <w:rFonts w:ascii="微軟正黑體" w:eastAsia="微軟正黑體" w:hAnsi="微軟正黑體" w:hint="eastAsia"/>
                <w:szCs w:val="24"/>
              </w:rPr>
              <w:t>、油</w:t>
            </w:r>
            <w:proofErr w:type="gramStart"/>
            <w:r w:rsidR="001102CD" w:rsidRPr="00474531">
              <w:rPr>
                <w:rFonts w:ascii="微軟正黑體" w:eastAsia="微軟正黑體" w:hAnsi="微軟正黑體" w:hint="eastAsia"/>
                <w:szCs w:val="24"/>
              </w:rPr>
              <w:t>麵</w:t>
            </w:r>
            <w:proofErr w:type="gramEnd"/>
            <w:r w:rsidR="001102CD" w:rsidRPr="00474531">
              <w:rPr>
                <w:rFonts w:ascii="微軟正黑體" w:eastAsia="微軟正黑體" w:hAnsi="微軟正黑體" w:hint="eastAsia"/>
                <w:szCs w:val="24"/>
              </w:rPr>
              <w:t>、珍珠奶茶</w:t>
            </w:r>
            <w:r w:rsidR="00484480" w:rsidRPr="00474531">
              <w:rPr>
                <w:rFonts w:ascii="微軟正黑體" w:eastAsia="微軟正黑體" w:hAnsi="微軟正黑體" w:hint="eastAsia"/>
                <w:szCs w:val="24"/>
              </w:rPr>
              <w:t>等</w:t>
            </w:r>
          </w:p>
        </w:tc>
      </w:tr>
      <w:tr w:rsidR="00474531" w:rsidRPr="00474531" w:rsidTr="00162E50">
        <w:trPr>
          <w:trHeight w:val="2717"/>
        </w:trPr>
        <w:tc>
          <w:tcPr>
            <w:tcW w:w="1310" w:type="dxa"/>
            <w:vAlign w:val="center"/>
          </w:tcPr>
          <w:p w:rsidR="00484480" w:rsidRPr="00474531" w:rsidRDefault="00484480" w:rsidP="00474531">
            <w:pPr>
              <w:spacing w:line="4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474531">
              <w:rPr>
                <w:rFonts w:ascii="微軟正黑體" w:eastAsia="微軟正黑體" w:hAnsi="微軟正黑體" w:hint="eastAsia"/>
                <w:szCs w:val="24"/>
              </w:rPr>
              <w:t>豆魚蛋</w:t>
            </w:r>
            <w:proofErr w:type="gramEnd"/>
            <w:r w:rsidRPr="00474531">
              <w:rPr>
                <w:rFonts w:ascii="微軟正黑體" w:eastAsia="微軟正黑體" w:hAnsi="微軟正黑體" w:hint="eastAsia"/>
                <w:szCs w:val="24"/>
              </w:rPr>
              <w:t>肉類</w:t>
            </w:r>
          </w:p>
        </w:tc>
        <w:tc>
          <w:tcPr>
            <w:tcW w:w="3760" w:type="dxa"/>
            <w:vAlign w:val="center"/>
          </w:tcPr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蒸蛋</w:t>
            </w:r>
            <w:r w:rsidR="005843B3" w:rsidRPr="00474531">
              <w:rPr>
                <w:rFonts w:ascii="微軟正黑體" w:eastAsia="微軟正黑體" w:hAnsi="微軟正黑體" w:hint="eastAsia"/>
                <w:szCs w:val="24"/>
              </w:rPr>
              <w:t>、水煮蛋</w:t>
            </w:r>
          </w:p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豆漿、豆花、嫩豆腐</w:t>
            </w:r>
          </w:p>
          <w:p w:rsidR="00484480" w:rsidRPr="00474531" w:rsidRDefault="00BD15A2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蒸、燉、煮的魚肉或海鮮</w:t>
            </w:r>
          </w:p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去皮的</w:t>
            </w:r>
            <w:proofErr w:type="gramStart"/>
            <w:r w:rsidRPr="00474531">
              <w:rPr>
                <w:rFonts w:ascii="微軟正黑體" w:eastAsia="微軟正黑體" w:hAnsi="微軟正黑體" w:hint="eastAsia"/>
                <w:szCs w:val="24"/>
              </w:rPr>
              <w:t>家禽如雞</w:t>
            </w:r>
            <w:proofErr w:type="gramEnd"/>
            <w:r w:rsidR="00BD15A2">
              <w:rPr>
                <w:rFonts w:ascii="微軟正黑體" w:eastAsia="微軟正黑體" w:hAnsi="微軟正黑體" w:hint="eastAsia"/>
                <w:szCs w:val="24"/>
              </w:rPr>
              <w:t>、鴨</w:t>
            </w:r>
            <w:r w:rsidRPr="00474531">
              <w:rPr>
                <w:rFonts w:ascii="微軟正黑體" w:eastAsia="微軟正黑體" w:hAnsi="微軟正黑體" w:hint="eastAsia"/>
                <w:szCs w:val="24"/>
              </w:rPr>
              <w:t>肉</w:t>
            </w:r>
          </w:p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去皮的家畜如豬、羊、牛瘦肉</w:t>
            </w:r>
          </w:p>
        </w:tc>
        <w:tc>
          <w:tcPr>
            <w:tcW w:w="4110" w:type="dxa"/>
          </w:tcPr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煎或炸的蛋、鐵蛋</w:t>
            </w:r>
          </w:p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濃湯或含油、</w:t>
            </w:r>
            <w:proofErr w:type="gramStart"/>
            <w:r w:rsidRPr="00474531">
              <w:rPr>
                <w:rFonts w:ascii="微軟正黑體" w:eastAsia="微軟正黑體" w:hAnsi="微軟正黑體" w:hint="eastAsia"/>
                <w:szCs w:val="24"/>
              </w:rPr>
              <w:t>含酒的</w:t>
            </w:r>
            <w:proofErr w:type="gramEnd"/>
            <w:r w:rsidRPr="00474531">
              <w:rPr>
                <w:rFonts w:ascii="微軟正黑體" w:eastAsia="微軟正黑體" w:hAnsi="微軟正黑體" w:hint="eastAsia"/>
                <w:szCs w:val="24"/>
              </w:rPr>
              <w:t>肉湯</w:t>
            </w:r>
          </w:p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炸豆腐或臭豆腐</w:t>
            </w:r>
          </w:p>
          <w:p w:rsidR="005843B3" w:rsidRPr="00474531" w:rsidRDefault="005843B3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高脂肉類如五花肉、豬腳、雞翅、牛腩、豬皮等</w:t>
            </w:r>
          </w:p>
          <w:p w:rsidR="00484480" w:rsidRPr="00474531" w:rsidRDefault="00BD15A2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含皮或</w:t>
            </w:r>
            <w:r w:rsidR="00484480" w:rsidRPr="00474531">
              <w:rPr>
                <w:rFonts w:ascii="微軟正黑體" w:eastAsia="微軟正黑體" w:hAnsi="微軟正黑體" w:hint="eastAsia"/>
                <w:szCs w:val="24"/>
              </w:rPr>
              <w:t>煎</w:t>
            </w:r>
            <w:proofErr w:type="gramEnd"/>
            <w:r w:rsidR="00484480" w:rsidRPr="00474531">
              <w:rPr>
                <w:rFonts w:ascii="微軟正黑體" w:eastAsia="微軟正黑體" w:hAnsi="微軟正黑體" w:hint="eastAsia"/>
                <w:szCs w:val="24"/>
              </w:rPr>
              <w:t>、炸</w:t>
            </w:r>
            <w:r>
              <w:rPr>
                <w:rFonts w:ascii="微軟正黑體" w:eastAsia="微軟正黑體" w:hAnsi="微軟正黑體" w:hint="eastAsia"/>
                <w:szCs w:val="24"/>
              </w:rPr>
              <w:t>烹調</w:t>
            </w:r>
            <w:r w:rsidR="00484480" w:rsidRPr="00474531">
              <w:rPr>
                <w:rFonts w:ascii="微軟正黑體" w:eastAsia="微軟正黑體" w:hAnsi="微軟正黑體" w:hint="eastAsia"/>
                <w:szCs w:val="24"/>
              </w:rPr>
              <w:t>的肉類</w:t>
            </w:r>
          </w:p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加工製品如培根</w:t>
            </w:r>
            <w:r w:rsidR="004E49C5" w:rsidRPr="00474531">
              <w:rPr>
                <w:rFonts w:ascii="微軟正黑體" w:eastAsia="微軟正黑體" w:hAnsi="微軟正黑體" w:hint="eastAsia"/>
                <w:szCs w:val="24"/>
              </w:rPr>
              <w:t>、香腸、肉鬆</w:t>
            </w:r>
            <w:r w:rsidRPr="00474531">
              <w:rPr>
                <w:rFonts w:ascii="微軟正黑體" w:eastAsia="微軟正黑體" w:hAnsi="微軟正黑體" w:hint="eastAsia"/>
                <w:szCs w:val="24"/>
              </w:rPr>
              <w:t>、罐頭、火鍋餃</w:t>
            </w:r>
            <w:r w:rsidR="004E49C5" w:rsidRPr="00474531">
              <w:rPr>
                <w:rFonts w:ascii="微軟正黑體" w:eastAsia="微軟正黑體" w:hAnsi="微軟正黑體" w:hint="eastAsia"/>
                <w:szCs w:val="24"/>
              </w:rPr>
              <w:t>、罐頭</w:t>
            </w:r>
            <w:r w:rsidRPr="00474531">
              <w:rPr>
                <w:rFonts w:ascii="微軟正黑體" w:eastAsia="微軟正黑體" w:hAnsi="微軟正黑體" w:hint="eastAsia"/>
                <w:szCs w:val="24"/>
              </w:rPr>
              <w:t>等</w:t>
            </w:r>
            <w:r w:rsidR="00BD15A2">
              <w:rPr>
                <w:rFonts w:ascii="微軟正黑體" w:eastAsia="微軟正黑體" w:hAnsi="微軟正黑體" w:hint="eastAsia"/>
                <w:szCs w:val="24"/>
              </w:rPr>
              <w:t>加工食品</w:t>
            </w:r>
            <w:bookmarkStart w:id="0" w:name="_GoBack"/>
            <w:bookmarkEnd w:id="0"/>
          </w:p>
        </w:tc>
      </w:tr>
      <w:tr w:rsidR="00474531" w:rsidRPr="00474531" w:rsidTr="00162E50">
        <w:trPr>
          <w:trHeight w:val="470"/>
        </w:trPr>
        <w:tc>
          <w:tcPr>
            <w:tcW w:w="1310" w:type="dxa"/>
            <w:vAlign w:val="center"/>
          </w:tcPr>
          <w:p w:rsidR="00484480" w:rsidRPr="00474531" w:rsidRDefault="00484480" w:rsidP="00474531">
            <w:pPr>
              <w:spacing w:line="4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蔬菜類</w:t>
            </w:r>
          </w:p>
        </w:tc>
        <w:tc>
          <w:tcPr>
            <w:tcW w:w="3760" w:type="dxa"/>
            <w:vAlign w:val="center"/>
          </w:tcPr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瓜類、嫩葉、菇類等</w:t>
            </w:r>
          </w:p>
        </w:tc>
        <w:tc>
          <w:tcPr>
            <w:tcW w:w="4110" w:type="dxa"/>
            <w:vAlign w:val="center"/>
          </w:tcPr>
          <w:p w:rsidR="009813C0" w:rsidRPr="00474531" w:rsidRDefault="004E49C5" w:rsidP="00CD2F0E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油炸蔬菜、罐頭蔬菜</w:t>
            </w:r>
          </w:p>
        </w:tc>
      </w:tr>
      <w:tr w:rsidR="00474531" w:rsidRPr="00474531" w:rsidTr="00162E50">
        <w:trPr>
          <w:trHeight w:val="460"/>
        </w:trPr>
        <w:tc>
          <w:tcPr>
            <w:tcW w:w="1310" w:type="dxa"/>
            <w:vAlign w:val="center"/>
          </w:tcPr>
          <w:p w:rsidR="00484480" w:rsidRPr="00474531" w:rsidRDefault="00484480" w:rsidP="00474531">
            <w:pPr>
              <w:spacing w:line="4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水果類</w:t>
            </w:r>
          </w:p>
        </w:tc>
        <w:tc>
          <w:tcPr>
            <w:tcW w:w="3760" w:type="dxa"/>
            <w:vAlign w:val="center"/>
          </w:tcPr>
          <w:p w:rsidR="00484480" w:rsidRPr="00474531" w:rsidRDefault="00AB404F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新鮮</w:t>
            </w:r>
            <w:r w:rsidR="00484480" w:rsidRPr="00474531">
              <w:rPr>
                <w:rFonts w:ascii="微軟正黑體" w:eastAsia="微軟正黑體" w:hAnsi="微軟正黑體" w:hint="eastAsia"/>
                <w:szCs w:val="24"/>
              </w:rPr>
              <w:t>水果</w:t>
            </w:r>
          </w:p>
        </w:tc>
        <w:tc>
          <w:tcPr>
            <w:tcW w:w="4110" w:type="dxa"/>
            <w:vAlign w:val="center"/>
          </w:tcPr>
          <w:p w:rsidR="00484480" w:rsidRPr="00474531" w:rsidRDefault="00AB404F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高熱量水果如果醬、水果罐頭</w:t>
            </w:r>
            <w:r w:rsidR="00484480" w:rsidRPr="00474531">
              <w:rPr>
                <w:rFonts w:ascii="微軟正黑體" w:eastAsia="微軟正黑體" w:hAnsi="微軟正黑體" w:hint="eastAsia"/>
                <w:szCs w:val="24"/>
              </w:rPr>
              <w:t>等</w:t>
            </w:r>
          </w:p>
        </w:tc>
      </w:tr>
      <w:tr w:rsidR="00474531" w:rsidRPr="00474531" w:rsidTr="00162E50">
        <w:trPr>
          <w:trHeight w:val="1812"/>
        </w:trPr>
        <w:tc>
          <w:tcPr>
            <w:tcW w:w="1310" w:type="dxa"/>
            <w:vAlign w:val="center"/>
          </w:tcPr>
          <w:p w:rsidR="00484480" w:rsidRPr="00474531" w:rsidRDefault="00484480" w:rsidP="00474531">
            <w:pPr>
              <w:spacing w:line="4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其他</w:t>
            </w:r>
          </w:p>
        </w:tc>
        <w:tc>
          <w:tcPr>
            <w:tcW w:w="3760" w:type="dxa"/>
            <w:vAlign w:val="center"/>
          </w:tcPr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刺激性</w:t>
            </w:r>
            <w:r w:rsidR="009813C0" w:rsidRPr="00474531">
              <w:rPr>
                <w:rFonts w:ascii="微軟正黑體" w:eastAsia="微軟正黑體" w:hAnsi="微軟正黑體" w:hint="eastAsia"/>
                <w:szCs w:val="24"/>
              </w:rPr>
              <w:t>較低的</w:t>
            </w:r>
            <w:r w:rsidRPr="00474531">
              <w:rPr>
                <w:rFonts w:ascii="微軟正黑體" w:eastAsia="微軟正黑體" w:hAnsi="微軟正黑體" w:hint="eastAsia"/>
                <w:szCs w:val="24"/>
              </w:rPr>
              <w:t>調味料</w:t>
            </w:r>
            <w:r w:rsidR="009813C0" w:rsidRPr="00474531">
              <w:rPr>
                <w:rFonts w:ascii="微軟正黑體" w:eastAsia="微軟正黑體" w:hAnsi="微軟正黑體" w:hint="eastAsia"/>
                <w:szCs w:val="24"/>
              </w:rPr>
              <w:t>或香料如白醋、五香、蔥、薑、蒜、香草等</w:t>
            </w:r>
          </w:p>
        </w:tc>
        <w:tc>
          <w:tcPr>
            <w:tcW w:w="4110" w:type="dxa"/>
          </w:tcPr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刺激性的食物或調味料</w:t>
            </w:r>
          </w:p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油炸、堅硬食物如</w:t>
            </w:r>
            <w:r w:rsidR="009813C0" w:rsidRPr="00474531">
              <w:rPr>
                <w:rFonts w:ascii="微軟正黑體" w:eastAsia="微軟正黑體" w:hAnsi="微軟正黑體" w:hint="eastAsia"/>
                <w:szCs w:val="24"/>
              </w:rPr>
              <w:t>堅果、</w:t>
            </w:r>
            <w:r w:rsidRPr="00474531">
              <w:rPr>
                <w:rFonts w:ascii="微軟正黑體" w:eastAsia="微軟正黑體" w:hAnsi="微軟正黑體" w:hint="eastAsia"/>
                <w:szCs w:val="24"/>
              </w:rPr>
              <w:t>花生糖、麻花</w:t>
            </w:r>
            <w:proofErr w:type="gramStart"/>
            <w:r w:rsidRPr="00474531">
              <w:rPr>
                <w:rFonts w:ascii="微軟正黑體" w:eastAsia="微軟正黑體" w:hAnsi="微軟正黑體" w:hint="eastAsia"/>
                <w:szCs w:val="24"/>
              </w:rPr>
              <w:t>捲</w:t>
            </w:r>
            <w:proofErr w:type="gramEnd"/>
            <w:r w:rsidRPr="00474531">
              <w:rPr>
                <w:rFonts w:ascii="微軟正黑體" w:eastAsia="微軟正黑體" w:hAnsi="微軟正黑體" w:hint="eastAsia"/>
                <w:szCs w:val="24"/>
              </w:rPr>
              <w:t>等</w:t>
            </w:r>
          </w:p>
          <w:p w:rsidR="00484480" w:rsidRPr="00474531" w:rsidRDefault="0048448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高熱量的調味料如蜂蜜、糖醋醬、芝麻醬、沙茶醬等</w:t>
            </w:r>
          </w:p>
          <w:p w:rsidR="009813C0" w:rsidRPr="00474531" w:rsidRDefault="009813C0" w:rsidP="00474531">
            <w:pPr>
              <w:spacing w:line="4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不消化的食物如</w:t>
            </w:r>
            <w:proofErr w:type="gramStart"/>
            <w:r w:rsidRPr="00474531">
              <w:rPr>
                <w:rFonts w:ascii="微軟正黑體" w:eastAsia="微軟正黑體" w:hAnsi="微軟正黑體" w:hint="eastAsia"/>
                <w:szCs w:val="24"/>
              </w:rPr>
              <w:t>蒟蒻</w:t>
            </w:r>
            <w:proofErr w:type="gramEnd"/>
          </w:p>
        </w:tc>
      </w:tr>
      <w:tr w:rsidR="00474531" w:rsidRPr="00474531" w:rsidTr="00162E50">
        <w:trPr>
          <w:trHeight w:val="1142"/>
        </w:trPr>
        <w:tc>
          <w:tcPr>
            <w:tcW w:w="1310" w:type="dxa"/>
            <w:vAlign w:val="center"/>
          </w:tcPr>
          <w:p w:rsidR="00484480" w:rsidRPr="00474531" w:rsidRDefault="00484480" w:rsidP="00474531">
            <w:pPr>
              <w:spacing w:line="4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474531">
              <w:rPr>
                <w:rFonts w:ascii="微軟正黑體" w:eastAsia="微軟正黑體" w:hAnsi="微軟正黑體" w:hint="eastAsia"/>
                <w:szCs w:val="24"/>
              </w:rPr>
              <w:t>水份</w:t>
            </w:r>
            <w:proofErr w:type="gramEnd"/>
          </w:p>
        </w:tc>
        <w:tc>
          <w:tcPr>
            <w:tcW w:w="3760" w:type="dxa"/>
            <w:vAlign w:val="center"/>
          </w:tcPr>
          <w:p w:rsidR="00484480" w:rsidRPr="00474531" w:rsidRDefault="00484480" w:rsidP="00474531">
            <w:pPr>
              <w:spacing w:line="4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白開水</w:t>
            </w:r>
          </w:p>
        </w:tc>
        <w:tc>
          <w:tcPr>
            <w:tcW w:w="4110" w:type="dxa"/>
            <w:vAlign w:val="center"/>
          </w:tcPr>
          <w:p w:rsidR="00484480" w:rsidRPr="00474531" w:rsidRDefault="00484480" w:rsidP="00474531">
            <w:pPr>
              <w:spacing w:line="4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冰水</w:t>
            </w:r>
            <w:r w:rsidR="00474531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474531">
              <w:rPr>
                <w:rFonts w:ascii="微軟正黑體" w:eastAsia="微軟正黑體" w:hAnsi="微軟正黑體" w:hint="eastAsia"/>
                <w:szCs w:val="24"/>
              </w:rPr>
              <w:t>含酒精飲料</w:t>
            </w:r>
          </w:p>
          <w:p w:rsidR="00484480" w:rsidRPr="00474531" w:rsidRDefault="00484480" w:rsidP="00474531">
            <w:pPr>
              <w:spacing w:line="4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氣泡飲料如汽水</w:t>
            </w:r>
          </w:p>
          <w:p w:rsidR="00484480" w:rsidRPr="00474531" w:rsidRDefault="00484480" w:rsidP="00474531">
            <w:pPr>
              <w:spacing w:line="4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74531">
              <w:rPr>
                <w:rFonts w:ascii="微軟正黑體" w:eastAsia="微軟正黑體" w:hAnsi="微軟正黑體" w:hint="eastAsia"/>
                <w:szCs w:val="24"/>
              </w:rPr>
              <w:t>含咖啡因</w:t>
            </w:r>
            <w:proofErr w:type="gramStart"/>
            <w:r w:rsidRPr="00474531">
              <w:rPr>
                <w:rFonts w:ascii="微軟正黑體" w:eastAsia="微軟正黑體" w:hAnsi="微軟正黑體" w:hint="eastAsia"/>
                <w:szCs w:val="24"/>
              </w:rPr>
              <w:t>飲料如茶飲</w:t>
            </w:r>
            <w:proofErr w:type="gramEnd"/>
            <w:r w:rsidRPr="00474531">
              <w:rPr>
                <w:rFonts w:ascii="微軟正黑體" w:eastAsia="微軟正黑體" w:hAnsi="微軟正黑體" w:hint="eastAsia"/>
                <w:szCs w:val="24"/>
              </w:rPr>
              <w:t>、咖啡</w:t>
            </w:r>
          </w:p>
        </w:tc>
      </w:tr>
    </w:tbl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Default="00474531" w:rsidP="00E94AA1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474531" w:rsidRPr="00D17728" w:rsidRDefault="00D17728" w:rsidP="00D17728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361E40">
        <w:rPr>
          <w:rFonts w:ascii="微軟正黑體" w:eastAsia="微軟正黑體" w:hAnsi="微軟正黑體" w:hint="eastAsia"/>
          <w:b/>
          <w:sz w:val="48"/>
          <w:szCs w:val="48"/>
        </w:rPr>
        <w:lastRenderedPageBreak/>
        <w:t>低熱量均衡飲食</w:t>
      </w:r>
    </w:p>
    <w:p w:rsidR="00484480" w:rsidRPr="00361E40" w:rsidRDefault="00817D55" w:rsidP="00D17728">
      <w:pPr>
        <w:spacing w:line="560" w:lineRule="exact"/>
        <w:ind w:leftChars="295" w:left="708"/>
        <w:rPr>
          <w:rFonts w:ascii="微軟正黑體" w:eastAsia="微軟正黑體" w:hAnsi="微軟正黑體"/>
          <w:sz w:val="28"/>
          <w:szCs w:val="28"/>
        </w:rPr>
      </w:pPr>
      <w:r w:rsidRPr="00361E40">
        <w:rPr>
          <w:rFonts w:ascii="微軟正黑體" w:eastAsia="微軟正黑體" w:hAnsi="微軟正黑體" w:hint="eastAsia"/>
          <w:sz w:val="28"/>
          <w:szCs w:val="28"/>
        </w:rPr>
        <w:t>備註:</w:t>
      </w:r>
    </w:p>
    <w:p w:rsidR="00CD65A4" w:rsidRPr="00361E40" w:rsidRDefault="002C1466" w:rsidP="00D17728">
      <w:pPr>
        <w:pStyle w:val="a6"/>
        <w:numPr>
          <w:ilvl w:val="0"/>
          <w:numId w:val="2"/>
        </w:numPr>
        <w:spacing w:line="560" w:lineRule="exact"/>
        <w:ind w:leftChars="440" w:left="1416"/>
        <w:rPr>
          <w:rFonts w:ascii="微軟正黑體" w:eastAsia="微軟正黑體" w:hAnsi="微軟正黑體"/>
          <w:sz w:val="28"/>
          <w:szCs w:val="28"/>
        </w:rPr>
      </w:pPr>
      <w:r w:rsidRPr="00361E40">
        <w:rPr>
          <w:rFonts w:ascii="微軟正黑體" w:eastAsia="微軟正黑體" w:hAnsi="微軟正黑體" w:hint="eastAsia"/>
          <w:sz w:val="28"/>
          <w:szCs w:val="28"/>
        </w:rPr>
        <w:t>攝取</w:t>
      </w:r>
      <w:r w:rsidR="00484480" w:rsidRPr="00361E40">
        <w:rPr>
          <w:rFonts w:ascii="微軟正黑體" w:eastAsia="微軟正黑體" w:hAnsi="微軟正黑體" w:hint="eastAsia"/>
          <w:sz w:val="28"/>
          <w:szCs w:val="28"/>
        </w:rPr>
        <w:t>半</w:t>
      </w:r>
      <w:r w:rsidRPr="00361E40">
        <w:rPr>
          <w:rFonts w:ascii="微軟正黑體" w:eastAsia="微軟正黑體" w:hAnsi="微軟正黑體" w:hint="eastAsia"/>
          <w:sz w:val="28"/>
          <w:szCs w:val="28"/>
        </w:rPr>
        <w:t>流質飲食無不舒服的情形，可逐漸進展至</w:t>
      </w:r>
      <w:r w:rsidR="00484480" w:rsidRPr="00361E40">
        <w:rPr>
          <w:rFonts w:ascii="微軟正黑體" w:eastAsia="微軟正黑體" w:hAnsi="微軟正黑體" w:hint="eastAsia"/>
          <w:sz w:val="28"/>
          <w:szCs w:val="28"/>
        </w:rPr>
        <w:t>軟</w:t>
      </w:r>
      <w:r w:rsidRPr="00361E40">
        <w:rPr>
          <w:rFonts w:ascii="微軟正黑體" w:eastAsia="微軟正黑體" w:hAnsi="微軟正黑體" w:hint="eastAsia"/>
          <w:sz w:val="28"/>
          <w:szCs w:val="28"/>
        </w:rPr>
        <w:t>質飲食。</w:t>
      </w:r>
    </w:p>
    <w:p w:rsidR="00484480" w:rsidRPr="00361E40" w:rsidRDefault="00484480" w:rsidP="00D17728">
      <w:pPr>
        <w:pStyle w:val="a6"/>
        <w:numPr>
          <w:ilvl w:val="0"/>
          <w:numId w:val="2"/>
        </w:numPr>
        <w:spacing w:line="560" w:lineRule="exact"/>
        <w:ind w:leftChars="440" w:left="1416"/>
        <w:rPr>
          <w:rFonts w:ascii="微軟正黑體" w:eastAsia="微軟正黑體" w:hAnsi="微軟正黑體"/>
          <w:sz w:val="28"/>
          <w:szCs w:val="28"/>
        </w:rPr>
      </w:pPr>
      <w:r w:rsidRPr="00361E40">
        <w:rPr>
          <w:rFonts w:ascii="微軟正黑體" w:eastAsia="微軟正黑體" w:hAnsi="微軟正黑體" w:hint="eastAsia"/>
          <w:sz w:val="28"/>
          <w:szCs w:val="28"/>
        </w:rPr>
        <w:t>飲食由少量開始，等身體適應後再逐漸增加份量。</w:t>
      </w:r>
    </w:p>
    <w:p w:rsidR="00484480" w:rsidRPr="00361E40" w:rsidRDefault="00484480" w:rsidP="00D17728">
      <w:pPr>
        <w:pStyle w:val="a6"/>
        <w:numPr>
          <w:ilvl w:val="0"/>
          <w:numId w:val="2"/>
        </w:numPr>
        <w:spacing w:line="560" w:lineRule="exact"/>
        <w:ind w:leftChars="440" w:left="1416"/>
        <w:rPr>
          <w:rFonts w:ascii="微軟正黑體" w:eastAsia="微軟正黑體" w:hAnsi="微軟正黑體"/>
          <w:sz w:val="28"/>
          <w:szCs w:val="28"/>
        </w:rPr>
      </w:pPr>
      <w:r w:rsidRPr="00361E40">
        <w:rPr>
          <w:rFonts w:ascii="微軟正黑體" w:eastAsia="微軟正黑體" w:hAnsi="微軟正黑體" w:hint="eastAsia"/>
          <w:sz w:val="28"/>
          <w:szCs w:val="28"/>
        </w:rPr>
        <w:t>使用飯碗控制每次進食量，每次以1/2碗為原則。</w:t>
      </w:r>
    </w:p>
    <w:p w:rsidR="00116C0F" w:rsidRPr="00361E40" w:rsidRDefault="00116C0F" w:rsidP="00D17728">
      <w:pPr>
        <w:pStyle w:val="a6"/>
        <w:numPr>
          <w:ilvl w:val="0"/>
          <w:numId w:val="2"/>
        </w:numPr>
        <w:spacing w:line="560" w:lineRule="exact"/>
        <w:ind w:leftChars="440" w:left="1416"/>
        <w:rPr>
          <w:rFonts w:ascii="微軟正黑體" w:eastAsia="微軟正黑體" w:hAnsi="微軟正黑體"/>
          <w:sz w:val="28"/>
          <w:szCs w:val="28"/>
        </w:rPr>
      </w:pPr>
      <w:r w:rsidRPr="00361E40">
        <w:rPr>
          <w:rFonts w:ascii="微軟正黑體" w:eastAsia="微軟正黑體" w:hAnsi="微軟正黑體" w:hint="eastAsia"/>
          <w:sz w:val="28"/>
          <w:szCs w:val="28"/>
        </w:rPr>
        <w:t>用餐時感到</w:t>
      </w:r>
      <w:proofErr w:type="gramStart"/>
      <w:r w:rsidRPr="00361E40">
        <w:rPr>
          <w:rFonts w:ascii="微軟正黑體" w:eastAsia="微軟正黑體" w:hAnsi="微軟正黑體" w:hint="eastAsia"/>
          <w:sz w:val="28"/>
          <w:szCs w:val="28"/>
        </w:rPr>
        <w:t>胃脹就停止</w:t>
      </w:r>
      <w:proofErr w:type="gramEnd"/>
      <w:r w:rsidRPr="00361E40">
        <w:rPr>
          <w:rFonts w:ascii="微軟正黑體" w:eastAsia="微軟正黑體" w:hAnsi="微軟正黑體" w:hint="eastAsia"/>
          <w:sz w:val="28"/>
          <w:szCs w:val="28"/>
        </w:rPr>
        <w:t>用餐，避免進食時間過長或吃到吐。</w:t>
      </w:r>
    </w:p>
    <w:p w:rsidR="00484480" w:rsidRPr="00361E40" w:rsidRDefault="0081363E" w:rsidP="00D17728">
      <w:pPr>
        <w:pStyle w:val="a6"/>
        <w:numPr>
          <w:ilvl w:val="0"/>
          <w:numId w:val="2"/>
        </w:numPr>
        <w:spacing w:line="560" w:lineRule="exact"/>
        <w:ind w:leftChars="440" w:left="1416"/>
        <w:rPr>
          <w:rFonts w:ascii="微軟正黑體" w:eastAsia="微軟正黑體" w:hAnsi="微軟正黑體"/>
          <w:sz w:val="28"/>
          <w:szCs w:val="28"/>
        </w:rPr>
      </w:pPr>
      <w:r w:rsidRPr="00361E40">
        <w:rPr>
          <w:rFonts w:ascii="微軟正黑體" w:eastAsia="微軟正黑體" w:hAnsi="微軟正黑體" w:hint="eastAsia"/>
          <w:sz w:val="28"/>
          <w:szCs w:val="28"/>
        </w:rPr>
        <w:t>細嚼慢</w:t>
      </w:r>
      <w:proofErr w:type="gramStart"/>
      <w:r w:rsidRPr="00361E40">
        <w:rPr>
          <w:rFonts w:ascii="微軟正黑體" w:eastAsia="微軟正黑體" w:hAnsi="微軟正黑體" w:hint="eastAsia"/>
          <w:sz w:val="28"/>
          <w:szCs w:val="28"/>
        </w:rPr>
        <w:t>嚥</w:t>
      </w:r>
      <w:proofErr w:type="gramEnd"/>
      <w:r w:rsidRPr="00361E40">
        <w:rPr>
          <w:rFonts w:ascii="微軟正黑體" w:eastAsia="微軟正黑體" w:hAnsi="微軟正黑體" w:hint="eastAsia"/>
          <w:sz w:val="28"/>
          <w:szCs w:val="28"/>
        </w:rPr>
        <w:t>，每餐進食時間約20-30分鐘。</w:t>
      </w:r>
    </w:p>
    <w:p w:rsidR="00116C0F" w:rsidRPr="00361E40" w:rsidRDefault="00116C0F" w:rsidP="00D17728">
      <w:pPr>
        <w:pStyle w:val="a6"/>
        <w:numPr>
          <w:ilvl w:val="0"/>
          <w:numId w:val="2"/>
        </w:numPr>
        <w:spacing w:line="560" w:lineRule="exact"/>
        <w:ind w:leftChars="440" w:left="1416"/>
        <w:rPr>
          <w:rFonts w:ascii="微軟正黑體" w:eastAsia="微軟正黑體" w:hAnsi="微軟正黑體"/>
          <w:sz w:val="28"/>
          <w:szCs w:val="28"/>
        </w:rPr>
      </w:pPr>
      <w:r w:rsidRPr="00361E40">
        <w:rPr>
          <w:rFonts w:ascii="微軟正黑體" w:eastAsia="微軟正黑體" w:hAnsi="微軟正黑體" w:hint="eastAsia"/>
          <w:sz w:val="28"/>
          <w:szCs w:val="28"/>
        </w:rPr>
        <w:t>餐與餐中間以一份水果代替點心。</w:t>
      </w:r>
    </w:p>
    <w:p w:rsidR="00116C0F" w:rsidRPr="00361E40" w:rsidRDefault="00116C0F" w:rsidP="00D17728">
      <w:pPr>
        <w:pStyle w:val="a6"/>
        <w:numPr>
          <w:ilvl w:val="0"/>
          <w:numId w:val="2"/>
        </w:numPr>
        <w:spacing w:line="560" w:lineRule="exact"/>
        <w:ind w:leftChars="440" w:left="1416"/>
        <w:rPr>
          <w:rFonts w:ascii="微軟正黑體" w:eastAsia="微軟正黑體" w:hAnsi="微軟正黑體"/>
          <w:sz w:val="28"/>
          <w:szCs w:val="28"/>
        </w:rPr>
      </w:pPr>
      <w:r w:rsidRPr="00361E40">
        <w:rPr>
          <w:rFonts w:ascii="微軟正黑體" w:eastAsia="微軟正黑體" w:hAnsi="微軟正黑體" w:hint="eastAsia"/>
          <w:sz w:val="28"/>
          <w:szCs w:val="28"/>
        </w:rPr>
        <w:t>避免吃體積小、熱量高的食物。</w:t>
      </w:r>
    </w:p>
    <w:p w:rsidR="0081363E" w:rsidRPr="00361E40" w:rsidRDefault="0081363E" w:rsidP="00D17728">
      <w:pPr>
        <w:pStyle w:val="a6"/>
        <w:numPr>
          <w:ilvl w:val="0"/>
          <w:numId w:val="2"/>
        </w:numPr>
        <w:spacing w:line="560" w:lineRule="exact"/>
        <w:ind w:leftChars="440" w:left="1416"/>
        <w:rPr>
          <w:rFonts w:ascii="微軟正黑體" w:eastAsia="微軟正黑體" w:hAnsi="微軟正黑體"/>
          <w:sz w:val="28"/>
          <w:szCs w:val="28"/>
        </w:rPr>
      </w:pPr>
      <w:r w:rsidRPr="00361E40">
        <w:rPr>
          <w:rFonts w:ascii="微軟正黑體" w:eastAsia="微軟正黑體" w:hAnsi="微軟正黑體" w:hint="eastAsia"/>
          <w:sz w:val="28"/>
          <w:szCs w:val="28"/>
        </w:rPr>
        <w:t>注意每天補充水分，可隨身攜帶水壺，避免脫水。</w:t>
      </w:r>
    </w:p>
    <w:p w:rsidR="0081363E" w:rsidRPr="00361E40" w:rsidRDefault="0081363E" w:rsidP="00D17728">
      <w:pPr>
        <w:pStyle w:val="a6"/>
        <w:numPr>
          <w:ilvl w:val="0"/>
          <w:numId w:val="2"/>
        </w:numPr>
        <w:spacing w:line="560" w:lineRule="exact"/>
        <w:ind w:leftChars="440" w:left="1416"/>
        <w:rPr>
          <w:rFonts w:ascii="微軟正黑體" w:eastAsia="微軟正黑體" w:hAnsi="微軟正黑體"/>
          <w:sz w:val="28"/>
          <w:szCs w:val="28"/>
        </w:rPr>
      </w:pPr>
      <w:r w:rsidRPr="00361E40">
        <w:rPr>
          <w:rFonts w:ascii="微軟正黑體" w:eastAsia="微軟正黑體" w:hAnsi="微軟正黑體" w:hint="eastAsia"/>
          <w:sz w:val="28"/>
          <w:szCs w:val="28"/>
        </w:rPr>
        <w:t>需攝取足夠的高蛋白質食物(</w:t>
      </w:r>
      <w:proofErr w:type="gramStart"/>
      <w:r w:rsidRPr="00361E40">
        <w:rPr>
          <w:rFonts w:ascii="微軟正黑體" w:eastAsia="微軟正黑體" w:hAnsi="微軟正黑體" w:hint="eastAsia"/>
          <w:sz w:val="28"/>
          <w:szCs w:val="28"/>
        </w:rPr>
        <w:t>豆魚蛋</w:t>
      </w:r>
      <w:proofErr w:type="gramEnd"/>
      <w:r w:rsidRPr="00361E40">
        <w:rPr>
          <w:rFonts w:ascii="微軟正黑體" w:eastAsia="微軟正黑體" w:hAnsi="微軟正黑體" w:hint="eastAsia"/>
          <w:sz w:val="28"/>
          <w:szCs w:val="28"/>
        </w:rPr>
        <w:t>肉類)。</w:t>
      </w:r>
    </w:p>
    <w:p w:rsidR="0081363E" w:rsidRPr="00361E40" w:rsidRDefault="00361E40" w:rsidP="00D17728">
      <w:pPr>
        <w:spacing w:line="560" w:lineRule="exact"/>
        <w:ind w:leftChars="440" w:left="1056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10.</w:t>
      </w:r>
      <w:r w:rsidR="0081363E" w:rsidRPr="00361E40">
        <w:rPr>
          <w:rFonts w:ascii="微軟正黑體" w:eastAsia="微軟正黑體" w:hAnsi="微軟正黑體" w:hint="eastAsia"/>
          <w:sz w:val="28"/>
          <w:szCs w:val="28"/>
        </w:rPr>
        <w:t>每天補充綜合維生素及礦物質補充劑。</w:t>
      </w:r>
    </w:p>
    <w:sectPr w:rsidR="0081363E" w:rsidRPr="00361E40" w:rsidSect="00474531">
      <w:headerReference w:type="default" r:id="rId9"/>
      <w:pgSz w:w="11906" w:h="16838"/>
      <w:pgMar w:top="1418" w:right="849" w:bottom="426" w:left="709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9F" w:rsidRDefault="009B6D9F" w:rsidP="00F546A5">
      <w:r>
        <w:separator/>
      </w:r>
    </w:p>
  </w:endnote>
  <w:endnote w:type="continuationSeparator" w:id="0">
    <w:p w:rsidR="009B6D9F" w:rsidRDefault="009B6D9F" w:rsidP="00F5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9F" w:rsidRDefault="009B6D9F" w:rsidP="00F546A5">
      <w:r>
        <w:separator/>
      </w:r>
    </w:p>
  </w:footnote>
  <w:footnote w:type="continuationSeparator" w:id="0">
    <w:p w:rsidR="009B6D9F" w:rsidRDefault="009B6D9F" w:rsidP="00F54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6A5" w:rsidRPr="00F546A5" w:rsidRDefault="00474531" w:rsidP="00F546A5">
    <w:pPr>
      <w:rPr>
        <w:rFonts w:ascii="Times New Roman" w:eastAsia="標楷體" w:hAnsi="Times New Roman" w:cs="Times New Roman"/>
        <w:sz w:val="20"/>
        <w:szCs w:val="20"/>
      </w:rPr>
    </w:pPr>
    <w:r>
      <w:rPr>
        <w:rFonts w:ascii="Times New Roman" w:eastAsia="標楷體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1E1DA3D" wp14:editId="407E2270">
          <wp:simplePos x="0" y="0"/>
          <wp:positionH relativeFrom="column">
            <wp:posOffset>-465455</wp:posOffset>
          </wp:positionH>
          <wp:positionV relativeFrom="paragraph">
            <wp:posOffset>-203200</wp:posOffset>
          </wp:positionV>
          <wp:extent cx="7627620" cy="1078992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邊框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674" cy="10787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46A5" w:rsidRPr="002F4AB2">
      <w:rPr>
        <w:rFonts w:ascii="Times New Roman" w:eastAsia="標楷體" w:hAnsi="Times New Roman" w:cs="Times New Roman"/>
        <w:sz w:val="20"/>
        <w:szCs w:val="20"/>
      </w:rPr>
      <w:t>健仁醫院護理部營養組</w:t>
    </w:r>
    <w:r w:rsidR="00F546A5" w:rsidRPr="002F4AB2">
      <w:rPr>
        <w:rFonts w:ascii="Times New Roman" w:eastAsia="標楷體" w:hAnsi="Times New Roman" w:cs="Times New Roman"/>
      </w:rPr>
      <w:t xml:space="preserve">                                    </w:t>
    </w:r>
    <w:r w:rsidR="00F546A5" w:rsidRPr="002F4AB2">
      <w:rPr>
        <w:rFonts w:ascii="Times New Roman" w:eastAsia="標楷體" w:hAnsi="Times New Roman" w:cs="Times New Roman"/>
        <w:sz w:val="20"/>
        <w:szCs w:val="20"/>
      </w:rPr>
      <w:t xml:space="preserve">                 </w:t>
    </w:r>
    <w:r w:rsidR="00F546A5">
      <w:rPr>
        <w:rFonts w:ascii="Times New Roman" w:eastAsia="標楷體" w:hAnsi="Times New Roman" w:cs="Times New Roman" w:hint="eastAsia"/>
        <w:sz w:val="20"/>
        <w:szCs w:val="20"/>
      </w:rPr>
      <w:t xml:space="preserve">          </w:t>
    </w:r>
    <w:r w:rsidR="00F546A5">
      <w:rPr>
        <w:rFonts w:ascii="Times New Roman" w:eastAsia="標楷體" w:hAnsi="Times New Roman" w:cs="Times New Roman"/>
        <w:sz w:val="20"/>
        <w:szCs w:val="20"/>
      </w:rPr>
      <w:t>107</w:t>
    </w:r>
    <w:r w:rsidR="00F546A5">
      <w:rPr>
        <w:rFonts w:ascii="Times New Roman" w:eastAsia="標楷體" w:hAnsi="Times New Roman" w:cs="Times New Roman" w:hint="eastAsia"/>
        <w:sz w:val="20"/>
        <w:szCs w:val="20"/>
      </w:rPr>
      <w:t>/</w:t>
    </w:r>
    <w:r w:rsidR="00F546A5">
      <w:rPr>
        <w:rFonts w:ascii="Times New Roman" w:eastAsia="標楷體" w:hAnsi="Times New Roman" w:cs="Times New Roman"/>
        <w:sz w:val="20"/>
        <w:szCs w:val="20"/>
      </w:rPr>
      <w:t>12</w:t>
    </w:r>
    <w:r w:rsidR="00F546A5">
      <w:rPr>
        <w:rFonts w:ascii="Times New Roman" w:eastAsia="標楷體" w:hAnsi="Times New Roman" w:cs="Times New Roman" w:hint="eastAsia"/>
        <w:sz w:val="20"/>
        <w:szCs w:val="20"/>
      </w:rPr>
      <w:t>/</w:t>
    </w:r>
    <w:r w:rsidR="00F546A5">
      <w:rPr>
        <w:rFonts w:ascii="Times New Roman" w:eastAsia="標楷體" w:hAnsi="Times New Roman" w:cs="Times New Roman"/>
        <w:sz w:val="20"/>
        <w:szCs w:val="20"/>
      </w:rPr>
      <w:t>1</w:t>
    </w:r>
    <w:r w:rsidR="00F546A5">
      <w:rPr>
        <w:rFonts w:ascii="Times New Roman" w:eastAsia="標楷體" w:hAnsi="Times New Roman" w:cs="Times New Roman" w:hint="eastAsia"/>
        <w:sz w:val="20"/>
        <w:szCs w:val="20"/>
      </w:rPr>
      <w:t>7</w:t>
    </w:r>
    <w:r w:rsidR="00F546A5" w:rsidRPr="002F4AB2">
      <w:rPr>
        <w:rFonts w:ascii="Times New Roman" w:eastAsia="標楷體" w:hAnsi="Times New Roman" w:cs="Times New Roman"/>
        <w:sz w:val="20"/>
        <w:szCs w:val="20"/>
      </w:rPr>
      <w:t>制定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601E"/>
    <w:multiLevelType w:val="hybridMultilevel"/>
    <w:tmpl w:val="174888C6"/>
    <w:lvl w:ilvl="0" w:tplc="DD9EAE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653DB2"/>
    <w:multiLevelType w:val="hybridMultilevel"/>
    <w:tmpl w:val="35D47820"/>
    <w:lvl w:ilvl="0" w:tplc="6C00A7F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A4"/>
    <w:rsid w:val="00047AB6"/>
    <w:rsid w:val="000509DC"/>
    <w:rsid w:val="000F7002"/>
    <w:rsid w:val="001102CD"/>
    <w:rsid w:val="00116C0F"/>
    <w:rsid w:val="0016229C"/>
    <w:rsid w:val="00162E50"/>
    <w:rsid w:val="001A5552"/>
    <w:rsid w:val="001E6788"/>
    <w:rsid w:val="00231EC7"/>
    <w:rsid w:val="00265925"/>
    <w:rsid w:val="002C0AF2"/>
    <w:rsid w:val="002C1466"/>
    <w:rsid w:val="00302047"/>
    <w:rsid w:val="00332F37"/>
    <w:rsid w:val="00361E40"/>
    <w:rsid w:val="003C5E3B"/>
    <w:rsid w:val="003D4D52"/>
    <w:rsid w:val="00400323"/>
    <w:rsid w:val="00437CF3"/>
    <w:rsid w:val="00474531"/>
    <w:rsid w:val="00484480"/>
    <w:rsid w:val="00495A6E"/>
    <w:rsid w:val="004A2ED6"/>
    <w:rsid w:val="004B12FB"/>
    <w:rsid w:val="004E080B"/>
    <w:rsid w:val="004E49C5"/>
    <w:rsid w:val="004F0E36"/>
    <w:rsid w:val="004F30D2"/>
    <w:rsid w:val="00525F22"/>
    <w:rsid w:val="005309B1"/>
    <w:rsid w:val="0055010B"/>
    <w:rsid w:val="005843B3"/>
    <w:rsid w:val="005A0CE9"/>
    <w:rsid w:val="006059EA"/>
    <w:rsid w:val="006060E3"/>
    <w:rsid w:val="006647BE"/>
    <w:rsid w:val="006B2B58"/>
    <w:rsid w:val="006B4ADA"/>
    <w:rsid w:val="00721404"/>
    <w:rsid w:val="00750B59"/>
    <w:rsid w:val="00781CB3"/>
    <w:rsid w:val="007C5F40"/>
    <w:rsid w:val="007D3A3D"/>
    <w:rsid w:val="0081363E"/>
    <w:rsid w:val="00817D55"/>
    <w:rsid w:val="008C157A"/>
    <w:rsid w:val="008E05D0"/>
    <w:rsid w:val="00911E0F"/>
    <w:rsid w:val="00936583"/>
    <w:rsid w:val="009551B8"/>
    <w:rsid w:val="00977D80"/>
    <w:rsid w:val="009813C0"/>
    <w:rsid w:val="009962BA"/>
    <w:rsid w:val="009A3FE5"/>
    <w:rsid w:val="009B429A"/>
    <w:rsid w:val="009B6D9F"/>
    <w:rsid w:val="00A068F0"/>
    <w:rsid w:val="00AB404F"/>
    <w:rsid w:val="00BB0441"/>
    <w:rsid w:val="00BD15A2"/>
    <w:rsid w:val="00BF3147"/>
    <w:rsid w:val="00C059B5"/>
    <w:rsid w:val="00C167F9"/>
    <w:rsid w:val="00CD2F0E"/>
    <w:rsid w:val="00CD65A4"/>
    <w:rsid w:val="00CF345D"/>
    <w:rsid w:val="00D17728"/>
    <w:rsid w:val="00D403F3"/>
    <w:rsid w:val="00D51B4A"/>
    <w:rsid w:val="00DB24F5"/>
    <w:rsid w:val="00DB3601"/>
    <w:rsid w:val="00DD3AD3"/>
    <w:rsid w:val="00E03EC3"/>
    <w:rsid w:val="00E804EB"/>
    <w:rsid w:val="00E94AA1"/>
    <w:rsid w:val="00EA3E87"/>
    <w:rsid w:val="00F30807"/>
    <w:rsid w:val="00F41FEF"/>
    <w:rsid w:val="00F546A5"/>
    <w:rsid w:val="00F60C09"/>
    <w:rsid w:val="00F66EBF"/>
    <w:rsid w:val="00F9614E"/>
    <w:rsid w:val="00FD5A39"/>
    <w:rsid w:val="00FD7892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3A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804E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4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46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4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46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D3A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804EB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4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46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4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46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10B5-41A3-4AC8-A109-9146DEEB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2018-12-13T00:50:00Z</cp:lastPrinted>
  <dcterms:created xsi:type="dcterms:W3CDTF">2019-04-17T07:38:00Z</dcterms:created>
  <dcterms:modified xsi:type="dcterms:W3CDTF">2019-04-17T07:38:00Z</dcterms:modified>
</cp:coreProperties>
</file>